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2022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10"/>
        <w:gridCol w:w="1704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Gilmar Maier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10.302.0172.2083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3.3.93.39.00.00.00.00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  <w:sz w:val="22"/>
                <w:szCs w:val="22"/>
                <w:lang w:eastAsia="en-US"/>
              </w:rPr>
              <w:t>29.500,00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</w:t>
            </w:r>
            <w:r>
              <w:rPr>
                <w:b/>
                <w:bCs/>
              </w:rPr>
              <w:t>9.500,00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Secretaria Municipal de Saúde (para ser destinado a pacientes da rede municipal que necessitam de exames de ressonância magnética e exames de ultrassom e exames oftalmológicos).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A presente emenda à despesa visa realocar recursos que possibilitem a aquisição de exames e consultas a pacientes da rede municipal de saúde.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A questão envolvendo um longa espera para realização de alguns exames tem se mostrado recorrente, de sorte que a presente iniciativa visa auxiliar na redução desse tempo de espera, ofertando um maior número de consultas e exames.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Dessa forma, o valor total do acréscimo objeto da presente emenda deverá ser dividido em 3 blocos, assim estabelecidos: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jc w:val="both"/>
              <w:rPr/>
            </w:pPr>
            <w:r>
              <w:rPr/>
              <w:t>R$ 16.</w:t>
            </w:r>
            <w:r>
              <w:rPr/>
              <w:t>740</w:t>
            </w:r>
            <w:r>
              <w:rPr/>
              <w:t>,00 mil reais para aquisição de aproximadamente 4</w:t>
            </w:r>
            <w:r>
              <w:rPr/>
              <w:t>5</w:t>
            </w:r>
            <w:r>
              <w:rPr/>
              <w:t xml:space="preserve"> exames ressonância magnética;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jc w:val="both"/>
              <w:rPr/>
            </w:pPr>
            <w:r>
              <w:rPr/>
              <w:t>R$ 3.</w:t>
            </w:r>
            <w:r>
              <w:rPr/>
              <w:t>84</w:t>
            </w:r>
            <w:r>
              <w:rPr/>
              <w:t>0,00 reais para aquisição de aproximadamente 4</w:t>
            </w:r>
            <w:r>
              <w:rPr/>
              <w:t>8</w:t>
            </w:r>
            <w:r>
              <w:rPr/>
              <w:t xml:space="preserve"> exames de ultrassom;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jc w:val="both"/>
              <w:rPr/>
            </w:pPr>
            <w:r>
              <w:rPr/>
              <w:t>R$ 8.</w:t>
            </w:r>
            <w:r>
              <w:rPr/>
              <w:t xml:space="preserve">920,00 </w:t>
            </w:r>
            <w:r>
              <w:rPr/>
              <w:t>reais para aquisição de aproximadamente 5</w:t>
            </w:r>
            <w:r>
              <w:rPr/>
              <w:t>0</w:t>
            </w:r>
            <w:r>
              <w:rPr/>
              <w:t xml:space="preserve"> exames oftalmológicos.</w:t>
            </w:r>
          </w:p>
          <w:p>
            <w:pPr>
              <w:pStyle w:val="ListParagraph"/>
              <w:widowControl w:val="false"/>
              <w:spacing w:lineRule="auto" w:line="240" w:before="120" w:after="120"/>
              <w:ind w:left="0" w:firstLine="633"/>
              <w:jc w:val="both"/>
              <w:rPr/>
            </w:pPr>
            <w:r>
              <w:rPr/>
              <w:t>Nesse sentido, a presente emenda auxiliará sobremaneira no atendimento de pacientes que, há meses, esperam para realizar seus exames e consultas.</w:t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02 de dezembro de 2021.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Style w:val="Tabelacomgrade"/>
        <w:tblW w:w="8221" w:type="dxa"/>
        <w:jc w:val="left"/>
        <w:tblInd w:w="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1"/>
      </w:tblGrid>
      <w:tr>
        <w:trPr/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GILMAR MAIER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V E R E A D O R    D A   B A N C A D A  D O  P T B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/>
      </w:pPr>
      <w:r>
        <w:rPr/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8" w:top="1417" w:footer="708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"/>
      <w:lvlJc w:val="left"/>
      <w:pPr>
        <w:tabs>
          <w:tab w:val="num" w:pos="0"/>
        </w:tabs>
        <w:ind w:left="9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55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494175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LibreOffice/7.0.1.2$Windows_X86_64 LibreOffice_project/7cbcfc562f6eb6708b5ff7d7397325de9e764452</Application>
  <Pages>2</Pages>
  <Words>337</Words>
  <Characters>1858</Characters>
  <CharactersWithSpaces>2143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2021-12-03T19:29:00Z</dcterms:created>
  <dc:creator>Legislativo01</dc:creator>
  <dc:description/>
  <dc:language>pt-BR</dc:language>
  <cp:lastModifiedBy/>
  <cp:lastPrinted>2021-12-03T20:13:00Z</cp:lastPrinted>
  <dcterms:modified xsi:type="dcterms:W3CDTF">2021-12-08T13:46:01Z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